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81E" w:rsidRPr="00624455" w:rsidRDefault="0042781E" w:rsidP="0042781E">
      <w:pPr>
        <w:shd w:val="clear" w:color="auto" w:fill="FFFFFF"/>
        <w:spacing w:after="120" w:line="240" w:lineRule="auto"/>
        <w:outlineLvl w:val="2"/>
        <w:rPr>
          <w:rFonts w:ascii="var(--font-family-text)" w:eastAsia="Times New Roman" w:hAnsi="var(--font-family-text)" w:cs="Arial"/>
          <w:b/>
          <w:bCs/>
          <w:color w:val="2B2B2B"/>
          <w:sz w:val="42"/>
          <w:szCs w:val="42"/>
          <w:lang w:eastAsia="ru-RU"/>
        </w:rPr>
      </w:pPr>
      <w:r w:rsidRPr="00624455">
        <w:rPr>
          <w:rFonts w:ascii="var(--font-family-text)" w:eastAsia="Times New Roman" w:hAnsi="var(--font-family-text)" w:cs="Arial"/>
          <w:b/>
          <w:bCs/>
          <w:color w:val="2B2B2B"/>
          <w:sz w:val="42"/>
          <w:szCs w:val="42"/>
          <w:lang w:eastAsia="ru-RU"/>
        </w:rPr>
        <w:t>Рекомендуемые материалы для развития</w:t>
      </w:r>
    </w:p>
    <w:p w:rsidR="0042781E" w:rsidRPr="003D7F23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Курс повышения квалификации </w:t>
      </w:r>
      <w:hyperlink r:id="rId5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«Функциональная грамотность: развиваем в школе»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proofErr w:type="spellStart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Онлайн-курс</w:t>
      </w:r>
      <w:proofErr w:type="spellEnd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 </w:t>
      </w:r>
      <w:hyperlink r:id="rId6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финансовой грамотности на уроках математики в начальной школе»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proofErr w:type="spellStart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Онлайн-курс</w:t>
      </w:r>
      <w:proofErr w:type="spellEnd"/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 </w:t>
      </w:r>
      <w:hyperlink r:id="rId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«Формирование финансовой грамотности на уроках математики в основной и старшей школе»</w:t>
        </w:r>
      </w:hyperlink>
    </w:p>
    <w:p w:rsidR="0042781E" w:rsidRPr="00624455" w:rsidRDefault="0042781E" w:rsidP="0042781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Круглые столы</w:t>
      </w:r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«Развитие инструментария для формирования и оценки функциональной грамотности (на примере финансовой грамотности)»</w:t>
        </w:r>
      </w:hyperlink>
    </w:p>
    <w:p w:rsidR="0042781E" w:rsidRPr="00624455" w:rsidRDefault="0042781E" w:rsidP="0042781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Задания</w:t>
      </w:r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заданий и методические материалы по финансовой грамотности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0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Банк 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межпредметных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заданий и задач по финансовой грамотности</w:t>
        </w:r>
      </w:hyperlink>
    </w:p>
    <w:p w:rsidR="0042781E" w:rsidRPr="00624455" w:rsidRDefault="0042781E" w:rsidP="0042781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proofErr w:type="spellStart"/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Вебинары</w:t>
      </w:r>
      <w:proofErr w:type="spellEnd"/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1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«Особенности преподавания финансовой грамотности в классах младшей школы»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2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«Обучение финансовой грамотности детей и молодежи: эффективные методики и возможности их использования»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3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«Инструменты диагностики и оценки функциональной финансовой грамотности»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4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«Реализация обучения школьников функциональной финансовой грамотности»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5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«Игры по финансовой грамотности на уроках математики в 1–4 классах»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6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«</w:t>
        </w:r>
        <w:proofErr w:type="gram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Новый</w:t>
        </w:r>
        <w:proofErr w:type="gram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электронный УМК Российского учебника по Финансовой грамотности на LECTA»</w:t>
        </w:r>
      </w:hyperlink>
    </w:p>
    <w:p w:rsidR="0042781E" w:rsidRPr="00624455" w:rsidRDefault="0042781E" w:rsidP="0042781E">
      <w:pPr>
        <w:shd w:val="clear" w:color="auto" w:fill="FFFFFF"/>
        <w:spacing w:before="502" w:after="502" w:line="240" w:lineRule="auto"/>
        <w:outlineLvl w:val="2"/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</w:pPr>
      <w:r w:rsidRPr="00624455">
        <w:rPr>
          <w:rFonts w:ascii="var(--font-family-text)" w:eastAsia="Times New Roman" w:hAnsi="var(--font-family-text)" w:cs="Arial"/>
          <w:color w:val="2B2B2B"/>
          <w:sz w:val="30"/>
          <w:szCs w:val="30"/>
          <w:lang w:eastAsia="ru-RU"/>
        </w:rPr>
        <w:t>Прочее</w:t>
      </w:r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7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Проект «Финансовый год» (разработки занятий по финансовой грамотности)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8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Банк методических разработок по финансовой грамотности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19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Методические материалы по финансовой грамотности для общеобразовательных организаций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r w:rsidRPr="00624455">
        <w:rPr>
          <w:rFonts w:ascii="Arial" w:eastAsia="Times New Roman" w:hAnsi="Arial" w:cs="Arial"/>
          <w:color w:val="585858"/>
          <w:sz w:val="30"/>
          <w:szCs w:val="30"/>
          <w:lang w:eastAsia="ru-RU"/>
        </w:rPr>
        <w:t>Видеоконференция: </w:t>
      </w:r>
      <w:hyperlink r:id="rId20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«Обучение финансовой грамотности в 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онлайн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формате, использование </w:t>
        </w:r>
        <w:proofErr w:type="spellStart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игропрактики</w:t>
        </w:r>
        <w:proofErr w:type="spellEnd"/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 xml:space="preserve"> и кейс технологии»</w:t>
        </w:r>
      </w:hyperlink>
    </w:p>
    <w:p w:rsidR="0042781E" w:rsidRPr="00624455" w:rsidRDefault="0042781E" w:rsidP="0042781E">
      <w:pPr>
        <w:numPr>
          <w:ilvl w:val="1"/>
          <w:numId w:val="1"/>
        </w:numPr>
        <w:shd w:val="clear" w:color="auto" w:fill="FFFFFF"/>
        <w:spacing w:before="167" w:after="167" w:line="240" w:lineRule="auto"/>
        <w:ind w:left="0"/>
        <w:rPr>
          <w:rFonts w:ascii="Arial" w:eastAsia="Times New Roman" w:hAnsi="Arial" w:cs="Arial"/>
          <w:color w:val="585858"/>
          <w:sz w:val="30"/>
          <w:szCs w:val="30"/>
          <w:lang w:eastAsia="ru-RU"/>
        </w:rPr>
      </w:pPr>
      <w:hyperlink r:id="rId21" w:tgtFrame="_blank" w:history="1">
        <w:r w:rsidRPr="00624455">
          <w:rPr>
            <w:rFonts w:ascii="Arial" w:eastAsia="Times New Roman" w:hAnsi="Arial" w:cs="Arial"/>
            <w:color w:val="0000FF"/>
            <w:sz w:val="30"/>
            <w:u w:val="single"/>
            <w:lang w:eastAsia="ru-RU"/>
          </w:rPr>
          <w:t>Открытые уроки по финансовой грамотности</w:t>
        </w:r>
      </w:hyperlink>
    </w:p>
    <w:p w:rsidR="0042781E" w:rsidRPr="00624455" w:rsidRDefault="0042781E" w:rsidP="004278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var(--font-family-heading)" w:eastAsia="Times New Roman" w:hAnsi="var(--font-family-heading)" w:cs="Arial"/>
          <w:color w:val="2B2B2B"/>
          <w:sz w:val="34"/>
          <w:szCs w:val="34"/>
          <w:lang w:eastAsia="ru-RU"/>
        </w:rPr>
      </w:pPr>
      <w:r w:rsidRPr="00624455">
        <w:rPr>
          <w:rFonts w:ascii="var(--font-family-heading)" w:eastAsia="Times New Roman" w:hAnsi="var(--font-family-heading)" w:cs="Arial"/>
          <w:color w:val="2B2B2B"/>
          <w:sz w:val="34"/>
          <w:szCs w:val="34"/>
          <w:lang w:eastAsia="ru-RU"/>
        </w:rPr>
        <w:t>88%</w:t>
      </w:r>
    </w:p>
    <w:p w:rsidR="0088703C" w:rsidRDefault="0088703C"/>
    <w:sectPr w:rsidR="0088703C" w:rsidSect="00887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ar(--font-family-tex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font-family-heading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32FDC"/>
    <w:multiLevelType w:val="multilevel"/>
    <w:tmpl w:val="7B307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81E"/>
    <w:rsid w:val="0042781E"/>
    <w:rsid w:val="00887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KYWwB2qdEo" TargetMode="External"/><Relationship Id="rId13" Type="http://schemas.openxmlformats.org/officeDocument/2006/relationships/hyperlink" Target="https://events.webinar.ru/8541997/3230865/record-new/3285379" TargetMode="External"/><Relationship Id="rId18" Type="http://schemas.openxmlformats.org/officeDocument/2006/relationships/hyperlink" Target="https://fmc.hse.ru/methban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rosv.ru/umk/page/financial-competence.569.html" TargetMode="External"/><Relationship Id="rId7" Type="http://schemas.openxmlformats.org/officeDocument/2006/relationships/hyperlink" Target="https://foxford.ru/courses/1144/landing" TargetMode="External"/><Relationship Id="rId12" Type="http://schemas.openxmlformats.org/officeDocument/2006/relationships/hyperlink" Target="https://fmc.hse.ru/mirror/pubs/share/246480985" TargetMode="External"/><Relationship Id="rId17" Type="http://schemas.openxmlformats.org/officeDocument/2006/relationships/hyperlink" Target="http://finlitpirogovka.tilda.w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_67Qa9pmm8o" TargetMode="External"/><Relationship Id="rId20" Type="http://schemas.openxmlformats.org/officeDocument/2006/relationships/hyperlink" Target="https://events.webinar.ru/event/5930753/6050701/b496bdda7619b2e74ed61e09c049db0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xford.ru/courses/1392/landing" TargetMode="External"/><Relationship Id="rId11" Type="http://schemas.openxmlformats.org/officeDocument/2006/relationships/hyperlink" Target="https://events.webinar.ru/8541997/1970133/record-new/2008601" TargetMode="External"/><Relationship Id="rId5" Type="http://schemas.openxmlformats.org/officeDocument/2006/relationships/hyperlink" Target="https://yandex.ru/promo/education/specpro/fungram" TargetMode="External"/><Relationship Id="rId15" Type="http://schemas.openxmlformats.org/officeDocument/2006/relationships/hyperlink" Target="https://rosuchebnik.ru/material/igry-po-finansovoy-gramotnosti-na-urokakh-matematiki-v-1-4-klassakh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atalog.vbudushee.ru/materials/bank-mezhpredmetnyh-zadaniy-i-zadach-po-finansovoy-gramotnosti" TargetMode="External"/><Relationship Id="rId19" Type="http://schemas.openxmlformats.org/officeDocument/2006/relationships/hyperlink" Target="https://fmc.hse.ru/methodolo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kiv.instrao.ru/bank-zadaniy/finansovaya-gramotnost/" TargetMode="External"/><Relationship Id="rId14" Type="http://schemas.openxmlformats.org/officeDocument/2006/relationships/hyperlink" Target="https://events.webinar.ru/8541997/5177463/record-new/52894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2021-05-10T08:33:00Z</dcterms:created>
  <dcterms:modified xsi:type="dcterms:W3CDTF">2021-05-10T08:33:00Z</dcterms:modified>
</cp:coreProperties>
</file>